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N0369</w:t>
      </w:r>
    </w:p>
    <w:p>
      <w:pPr/>
      <w:r>
        <w:rPr>
          <w:sz w:val="24"/>
          <w:szCs w:val="24"/>
          <w:b w:val="1"/>
          <w:bCs w:val="1"/>
        </w:rPr>
        <w:t xml:space="preserve">Notion originale: langue d'origine</w:t>
      </w:r>
    </w:p>
    <w:p>
      <w:pPr/>
      <w:r>
        <w:rPr>
          <w:sz w:val="24"/>
          <w:szCs w:val="24"/>
          <w:b w:val="1"/>
          <w:bCs w:val="1"/>
        </w:rPr>
        <w:t xml:space="preserve">Notion traduite: langue d'origine</w:t>
      </w:r>
    </w:p>
    <w:p>
      <w:pPr/>
      <w:r>
        <w:rPr/>
        <w:t xml:space="preserve">
Autre notion traduite avec le même therme: (basque) jatorrizko hizkuntza</w:t>
      </w:r>
    </w:p>
    <w:p>
      <w:pPr/>
      <w:r>
        <w:rPr/>
        <w:t xml:space="preserve">
Autre notion traduite avec le même therme: (espagnol) lengua originaria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E1573, p. 124</w:t>
      </w:r>
    </w:p>
    <w:p>
      <w:pPr/>
      <w:r>
        <w:rPr/>
        <w:t xml:space="preserve">    Dans le cas du français, il s'est agi d'une grande multiplicité de situations depuis la migration volontaire, l'exil, la migration de colonisation, la déportation (de l'Acadie vers la Louisiane), qui dans la majorité des cas ont dû gérer un contact de langues entre la langue "d'origine" (du territoire où l'on est né) et la langue de "référence" (du territoire où l'on va vivre).</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E1497, p. 554</w:t>
      </w:r>
    </w:p>
    <w:p>
      <w:pPr/>
      <w:r>
        <w:rPr/>
        <w:t xml:space="preserve">    Près de deux siècles après leur migration, une grande partie des Grecs avaient encore une compétence active ou passive de la langue d'origine tout en usant du parler corse local ainsi que du français acquis à l'école.</w:t>
      </w:r>
    </w:p>
    <w:p>
      <w:pPr/>
      <w:r>
        <w:rPr/>
        <w:t xml:space="preserve">
</w:t>
      </w:r>
    </w:p>
    <w:p>
      <w:pPr/>
      <w:r>
        <w:rPr/>
        <w:t xml:space="preserve">Extrait E1498, p. 555</w:t>
      </w:r>
    </w:p>
    <w:p>
      <w:pPr/>
      <w:r>
        <w:rPr/>
        <w:t xml:space="preserve">    Il est bien évident que la langue d'origine occupe dans cet ensemble [le maintien d'une mémoire collective des origines] une place privilégiée, et cela d'autant plus que certaines sociétés d'accueil, comme la France, accordent une grande importance à la langue réelle ou supposée des immigrants. Ainsi, un Arménien ou un Grec turcophone, un Turc grécophone ou hispanophone (judéo-espagnol) semblaient être des cas presque pathologiques</w:t>
      </w:r>
    </w:p>
    <w:p>
      <w:pPr/>
      <w:r>
        <w:rPr/>
        <w:t xml:space="preserve">
</w:t>
      </w:r>
    </w:p>
    <w:p>
      <w:pPr/>
      <w:r>
        <w:rPr/>
        <w:t xml:space="preserve">Extrait E1501, p. 556</w:t>
      </w:r>
    </w:p>
    <w:p>
      <w:pPr/>
      <w:r>
        <w:rPr/>
        <w:t xml:space="preserve">    Pour nombre de migrants, la scolarisation a été celle du pays d'accueil, qui offre l'accès au monde de l'écrit associé au modèle de mobilité sociale. Le migrant est arrivé avec son bagage langagier qui se trouve confronté à la structure scolaire où il doit s'insérer, lui et ses enfants. Or, la rencontre met en question la notion même de langue d'origine. Celle-ci devient tributaire de l'image qu'a produite l'aliénation du déplacement. Dans ce processus, la langue se voit investie d'un poids affectif considérable qui la déplace dans le champ du symbolique, à l'instar du territoire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2025-07-24T23:55:25+02:00</dcterms:created>
  <dcterms:modified xsi:type="dcterms:W3CDTF">2025-07-24T23:55:25+02:00</dcterms:modified>
</cp:coreProperties>
</file>

<file path=docProps/custom.xml><?xml version="1.0" encoding="utf-8"?>
<Properties xmlns="http://schemas.openxmlformats.org/officeDocument/2006/custom-properties" xmlns:vt="http://schemas.openxmlformats.org/officeDocument/2006/docPropsVTypes"/>
</file>