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N0035</w:t>
      </w:r>
    </w:p>
    <w:p>
      <w:pPr/>
      <w:r>
        <w:rPr>
          <w:sz w:val="24"/>
          <w:szCs w:val="24"/>
          <w:b w:val="1"/>
          <w:bCs w:val="1"/>
        </w:rPr>
        <w:t xml:space="preserve">Notion originale: langue seconde</w:t>
      </w:r>
    </w:p>
    <w:p>
      <w:pPr/>
      <w:r>
        <w:rPr>
          <w:sz w:val="24"/>
          <w:szCs w:val="24"/>
          <w:b w:val="1"/>
          <w:bCs w:val="1"/>
        </w:rPr>
        <w:t xml:space="preserve">Notion traduite: langue seconde</w:t>
      </w:r>
    </w:p>
    <w:p>
      <w:pPr/>
      <w:r>
        <w:rPr/>
        <w:t xml:space="preserve">
Autre notion traduite avec le même therme: (anglais) second language</w:t>
      </w:r>
    </w:p>
    <w:p>
      <w:pPr/>
      <w:r>
        <w:rPr/>
        <w:t xml:space="preserve">
Autre notion traduite avec le même therme: (basque) bigarren hizkuntza</w:t>
      </w:r>
    </w:p>
    <w:p>
      <w:pPr/>
      <w:r>
        <w:rPr/>
        <w:t xml:space="preserve">
Autre notion traduite avec le même therme: (russe) второй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D077</w:t>
      </w:r>
    </w:p>
    <w:p>
      <w:pPr/>
      <w:r>
        <w:rPr/>
        <w:t xml:space="preserve">Titre: La guerre des langues et les chances d’un véritable plurilinguisme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In : Panoramiques, n°48, 2000, pp. 10-16</w:t>
      </w:r>
    </w:p>
    <w:p>
      <w:pPr/>
      <w:r>
        <w:rPr/>
        <w:t xml:space="preserve">
</w:t>
      </w:r>
    </w:p>
    <w:p>
      <w:pPr/>
      <w:r>
        <w:rPr/>
        <w:t xml:space="preserve">Extrait E1542, p. 12</w:t>
      </w:r>
    </w:p>
    <w:p>
      <w:pPr/>
      <w:r>
        <w:rPr/>
        <w:t xml:space="preserve">    (…) le français est pour eux [habitants de pays africains francophones] une langue seconde et se pose alors le problème d'un autre droit des citoyens, leur droit à la langue qu'ils considèrent comme leur langue identitaire, celle de la communication quotidienne, familiale ou amicale, qui peut être leur langue première ("maternelle") ou une langue véhiculaire.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D009</w:t>
      </w:r>
    </w:p>
    <w:p>
      <w:pPr/>
      <w:r>
        <w:rPr/>
        <w:t xml:space="preserve">Titre: Linguistique et colonialisme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:Payot, Saint-Amand, 1979, 228p. </w:t>
      </w:r>
    </w:p>
    <w:p>
      <w:pPr/>
      <w:r>
        <w:rPr/>
        <w:t xml:space="preserve">
</w:t>
      </w:r>
    </w:p>
    <w:p>
      <w:pPr/>
      <w:r>
        <w:rPr/>
        <w:t xml:space="preserve">Extrait E0227, p. 114</w:t>
      </w:r>
    </w:p>
    <w:p>
      <w:pPr/>
      <w:r>
        <w:rPr/>
        <w:t xml:space="preserve">    Mais ce qui caractérise le créole par opposition à ces langues secondes, c'est qu'il devient, lui, langue maternelle du groupe opprimé et qu'il va, à ce titre, s'opposer au sein de la superstructure linguistique à la langue du colonisateur, comme langue dominée face à la langue dominante : c'est alors "la glottophagie en aval" (...). On trouve d’ailleurs une preuve a contrario de cette présentation dans les rares cas où des créoles ont disparu. Aux Etats-Unis par exemple, et mise à part l’exception du gullah des îles côtières de Géorgie (…), les créoles ont lentement disparu avec l’abolition de l’esclavage.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2024-11-21T09:33:31+01:00</dcterms:created>
  <dcterms:modified xsi:type="dcterms:W3CDTF">2024-11-21T09:33:31+01:00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