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N0025</w:t>
      </w:r>
    </w:p>
    <w:p>
      <w:pPr/>
      <w:r>
        <w:rPr>
          <w:sz w:val="24"/>
          <w:szCs w:val="24"/>
          <w:b w:val="1"/>
          <w:bCs w:val="1"/>
        </w:rPr>
        <w:t xml:space="preserve">Notion originale: язык национального меньшинства</w:t>
      </w:r>
    </w:p>
    <w:p>
      <w:pPr/>
      <w:r>
        <w:rPr>
          <w:sz w:val="24"/>
          <w:szCs w:val="24"/>
          <w:b w:val="1"/>
          <w:bCs w:val="1"/>
        </w:rPr>
        <w:t xml:space="preserve">Notion translittere: âzyk nacionalʹnogo menʹšinstva</w:t>
      </w:r>
    </w:p>
    <w:p>
      <w:pPr/>
      <w:r>
        <w:rPr>
          <w:sz w:val="24"/>
          <w:szCs w:val="24"/>
          <w:b w:val="1"/>
          <w:bCs w:val="1"/>
        </w:rPr>
        <w:t xml:space="preserve">Notion traduite: langue de minorité nationale</w:t>
      </w:r>
    </w:p>
    <w:p>
      <w:pPr/>
      <w:r>
        <w:rPr/>
        <w:t xml:space="preserve">
Autre notion traduite avec le même therme: (français) langue de minorité nationale</w:t>
      </w:r>
    </w:p>
    <w:p>
      <w:pPr/>
      <w:r>
        <w:rPr/>
        <w:t xml:space="preserve">
Autre notion traduite avec le même therme: (italien) lingua di minoranza nazionale</w:t>
      </w:r>
    </w:p>
    <w:p>
      <w:pPr/>
      <w:r>
        <w:rPr/>
        <w:t xml:space="preserve">
</w:t>
      </w:r>
    </w:p>
    <w:p>
      <w:pPr/>
      <w:r>
        <w:rPr>
          <w:b w:val="1"/>
          <w:bCs w:val="1"/>
        </w:rPr>
        <w:t xml:space="preserve">Document: D161</w:t>
      </w:r>
    </w:p>
    <w:p>
      <w:pPr/>
      <w:r>
        <w:rPr/>
        <w:t xml:space="preserve">Titre: Языковая ситуация в регионах современной России</w:t>
      </w:r>
    </w:p>
    <w:p>
      <w:pPr/>
      <w:r>
        <w:rPr/>
        <w:t xml:space="preserve">Titre translittéré: Âzykovaâ situaciâ v regionah sovremennoj Rossii</w:t>
      </w:r>
    </w:p>
    <w:p>
      <w:pPr/>
      <w:r>
        <w:rPr/>
        <w:t xml:space="preserve">Titre traduit: La situation linguistique dans les régions de la Russie actuelle</w:t>
      </w:r>
    </w:p>
    <w:p>
      <w:pPr/>
      <w:r>
        <w:rPr/>
        <w:t xml:space="preserve">Type: linguistique - page internet</w:t>
      </w:r>
    </w:p>
    <w:p>
      <w:pPr/>
      <w:r>
        <w:rPr/>
        <w:t xml:space="preserve">Langue: russe</w:t>
      </w:r>
    </w:p>
    <w:p>
      <w:pPr/>
      <w:r>
        <w:rPr/>
        <w:t xml:space="preserve">Auteur: АЛПАТОВ, Владимир [ALPATOV, Vladimir]</w:t>
      </w:r>
    </w:p>
    <w:p>
      <w:pPr/>
      <w:r>
        <w:rPr/>
        <w:t xml:space="preserve">In: Отечественные записки 2005</w:t>
      </w:r>
    </w:p>
    <w:p>
      <w:pPr/>
      <w:r>
        <w:rPr/>
        <w:t xml:space="preserve">Lien: http://www.strana-oz.ru/2005/2/yazykovaya-situaciya-v-regionah-sovremennoy-rossii</w:t>
      </w:r>
    </w:p>
    <w:p>
      <w:pPr/>
      <w:r>
        <w:rPr/>
        <w:t xml:space="preserve">
</w:t>
      </w:r>
    </w:p>
    <w:p>
      <w:pPr/>
      <w:r>
        <w:rPr/>
        <w:t xml:space="preserve">Extrait E0016</w:t>
      </w:r>
    </w:p>
    <w:p>
      <w:pPr/>
      <w:r>
        <w:rPr/>
        <w:t xml:space="preserve">    (…) Языки национальных меньшинств России, (…), находятся в различном положении. Некоторые по-прежнему устойчиво функционируют - причем не только как разговорные, но иногда и как письменные, - другие вымирают. (…) количество носителей языка далеко не всегда является в этом отношении решающим фактором. Скажем, очень малые по числу носителей одноаульные языки Дагестана и сейчас вполне устойчивы (хотя все без исключения их носители многоязычны). Многоязычный Северный Кавказ вообще отличается стабильностью языковой ситуации (…).</w:t>
      </w:r>
    </w:p>
    <w:p>
      <w:pPr/>
      <w:r>
        <w:rPr/>
        <w:t xml:space="preserve">    (…) Les langues des minorités nationales de la Russie, (…), sont dans des situations différentes. Certaines sont toujours en usage constant, et non seulement en tant que langues parlées, mais aussi comme langues écrites, d’autres disparaissent. (…) le nombre de locuteurs natifs n’y est pas toujours un facteur décisif. Disons que les langues très minoritaires n’existant qu’au sein d’un village daghestanais sont très stables, même aujourd’hui (bien que tous les locuteurs sans exception soient multilingues). Le Caucase du Nord est multilingue et distinct de par sa situation linguistique très stable (…).</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E0162, p. 27</w:t>
      </w:r>
    </w:p>
    <w:p>
      <w:pPr/>
      <w:r>
        <w:rPr/>
        <w:t xml:space="preserve">    На очереди дня ратификация Европейской Хартии региональных языков и языков меньшинств. Этому был посвящен специальный семинар, проведенный Советом Европы и Министерством по делам федераций и национальностей Российской Федерации 19 мая 2000 г. На нем были обсуждены цели и задачи указанной хартии, рассмотрены меры, направленные на ее подписание и ратификацию, определена роль правительства и неправительственных организаций в защите региональных языков и языков национальных меньшинств, продемонстрирована готовность общественности поддержать идею присоединения Российской Федерации к этому документу.</w:t>
      </w:r>
    </w:p>
    <w:p>
      <w:pPr/>
      <w:r>
        <w:rPr/>
        <w:t xml:space="preserve">    La ratification de la « Charte Européenne des langues régionales et minoritaires » est à l’ordre du jour. Le séminaire, organisé par le Conseil de l’Europe et par le Ministère des affaires fédérales et des nationalités de la Fédération de Russie le 19 mai 2000 était consacré à ce sujet. Les objectifs de la Charte y ont été discutés, les mesures à prendre pour sa signature et sa ratification, ont été analysées, le rôle du gouvernement et des organisations non gouvernementales dans la défense des langues régionales et des langues des minorités nationales a été défini, l’aptitude de la société civile a démontré qu'elle était prête à l’idée que la Fédération de Russie adhère à ce document.</w:t>
      </w:r>
    </w:p>
    <w:p>
      <w:pPr/>
      <w:r>
        <w:rPr/>
        <w:t xml:space="preserve">
</w:t>
      </w:r>
    </w:p>
    <w:p>
      <w:pPr/>
      <w:r>
        <w:rPr/>
        <w:t xml:space="preserve">Extrait E0178, p. 335</w:t>
      </w:r>
    </w:p>
    <w:p>
      <w:pPr/>
      <w:r>
        <w:rPr/>
        <w:t xml:space="preserve">    Незавершенность, усеченность ряда норм, особенно, касающихся групп населения нетитульной национальности, дает основание думать о том, что сами эти нормы были включены в 1993-1995 гг. в тексты конституций республик скорее по инерции прокатившейся в 1989-1991 гг. суверенизации, чем из желания действительно установить равные условия для развития национальных культур и языков малочисленных народов, национальных групп и национальных меньшинств.</w:t>
      </w:r>
    </w:p>
    <w:p>
      <w:pPr/>
      <w:r>
        <w:rPr/>
        <w:t xml:space="preserve">    Le caractère non défini, réduit d’un nombre de normes, surtout dans les cas concernant les groupes de populations non titulaires, laisse penser que ces normes étaient introduites dans la foulée en 1993 – 1995 dans les textes des constitutions des républiques à la suite de l'affirmation des souverainetés des années 1989 – 1991, plutôt que du désir d’établir effectivement des conditions égales pour le développement des cultures nationales et des langues des peuples numériquement faibles, des groupes nationaux et des minorités nationales.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E1862, p. 77-79</w:t>
      </w:r>
    </w:p>
    <w:p>
      <w:pPr/>
      <w:r>
        <w:rPr/>
        <w:t xml:space="preserve">    Большие успехи были достигнуты в издательском деле. Если в 1927 г. в Узбекистане на национальных языках, пользовавшихся арабской графикой, издавалось 9 газет и 7 журналов, то в 1932 г. (на латинской графике) количество газет (районных и республиканских) было 64, а журналов – 25. (...) Наряду с литературой на узбекском языке издавались и учебники, и художественная, и общеполитическая литература на языках национальных меньшинств Уз ССР.</w:t>
      </w:r>
    </w:p>
    <w:p>
      <w:pPr/>
      <w:r>
        <w:rPr/>
        <w:t xml:space="preserve">    De grands progrès ont été faits dans le domaine de l'édition. Si en 1927 en Ouzbékistan on publiait 9 journaux et 7 revues en langues nationales qui utilisaient l'écriture arabe, en 1932 (en écriture latine) ce nombre a atteint 64 pour les journaux (régionaux et de la république) et 25 pour les revues. (…) Parallèlement à la littérature en ouzbek, des manuels ont été édités, ainsi que de la littérature de fiction et de la littérature politique dans les langues des minorités nationales de la SSR Ouzbek.</w:t>
      </w:r>
    </w:p>
    <w:p>
      <w:pPr/>
      <w:r>
        <w:rPr/>
        <w:t xml:space="preserve">
</w:t>
      </w:r>
    </w:p>
    <w:p>
      <w:pPr/>
      <w:r>
        <w:rPr/>
        <w:t xml:space="preserve">Extrait E1866, p. 88-89</w:t>
      </w:r>
    </w:p>
    <w:p>
      <w:pPr/>
      <w:r>
        <w:rPr/>
        <w:t xml:space="preserve">    Значительных успехов достигла печать Туркмении. (...) На языках национальных меньшинств в Туркмении (в частности, на персидском) в эти годы (1930-1932 гг.) было издано 8 названий (45 печ. л.) тиражом 41000 экз. Что касается представителей соседних братских советских народов (узбеков, таджиков, казахов), то для них из соответствующих республик доставлялась необходимая учебная и другая литература.</w:t>
      </w:r>
    </w:p>
    <w:p>
      <w:pPr/>
      <w:r>
        <w:rPr/>
        <w:t xml:space="preserve">    L'édition a fait des progrès significatifs en Turkménie. (…) Pendant ces années (1930-1932), en Turkménie, on a édité 8 titres (45 feuilles imprimées) à 41000 exemplaires dans les langues des minorités nationales (y compris, en perse). En ce qui concerne les représentants des peuples soviétiques voisins (Ouzbeks, Tadjiks, Kazakhs), la littérature didactique ainsi que d'autres types de littérature nécessaires leur ont été fournis par les républiques éponymes.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E1848, p. 148</w:t>
      </w:r>
    </w:p>
    <w:p>
      <w:pPr/>
      <w:r>
        <w:rPr/>
        <w:t xml:space="preserve">    Языковое строительство (планирование) – сознательное целенапрaвленное вмешательство государственных органов, общества в процессы языкового развития.
Сюда относится создание алфавитов для языков бесписьменных народов, публикация книг на их языках, введения начального образования на языках национальных меньшинств, проведение нормализационных мероприятий в области правописания, пропаганды культуры речи. Связано с общими тенденциями в языковой политике.</w:t>
      </w:r>
    </w:p>
    <w:p>
      <w:pPr/>
      <w:r>
        <w:rPr/>
        <w:t xml:space="preserve">    Édification linguistique (planification) : intervention délibérée et cohérente des pouvoirs publics, de la société dans les processus du développement linguistique.La création des alphabets pour les langues des peuples sans écriture, la publication de livres dans leurs langues, l'introduction dans l'enseignement primaire des langues des minorités nationales, l'application de mesures de normalisation dans le domaine de l'orthographe, de la promotion de la culture de la langue en font parti. Elle est liée aux tendances générales de la politique linguistique.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2024-05-16T21:01:59+02:00</dcterms:created>
  <dcterms:modified xsi:type="dcterms:W3CDTF">2024-05-16T21:01:59+02:00</dcterms:modified>
</cp:coreProperties>
</file>

<file path=docProps/custom.xml><?xml version="1.0" encoding="utf-8"?>
<Properties xmlns="http://schemas.openxmlformats.org/officeDocument/2006/custom-properties" xmlns:vt="http://schemas.openxmlformats.org/officeDocument/2006/docPropsVTypes"/>
</file>