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N0248</w:t>
      </w:r>
    </w:p>
    <w:p>
      <w:pPr/>
      <w:r>
        <w:rPr>
          <w:sz w:val="24"/>
          <w:szCs w:val="24"/>
          <w:b w:val="1"/>
          <w:bCs w:val="1"/>
        </w:rPr>
        <w:t xml:space="preserve">Notion originale: llengua oficial regional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E2610, p. 180</w:t>
      </w:r>
    </w:p>
    <w:p>
      <w:pPr/>
      <w:r>
        <w:rPr/>
        <w:t xml:space="preserve">    Llengua oficial regional : llengua que, en el marc estatal, gaudeix del reconeixement d'oficialitat en una regió (Cotano, 2000) .</w:t>
      </w:r>
    </w:p>
    <w:p>
      <w:pPr/>
      <w:r>
        <w:rPr/>
        <w:t xml:space="preserve">    Langue officielle régionale : langue qui, dans le cadre étatique, jouit de la reconnaissance d'officialité dans une région (Cotano, 2000)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2025-08-18T18:54:51+02:00</dcterms:created>
  <dcterms:modified xsi:type="dcterms:W3CDTF">2025-08-18T18:54:51+02:00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