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N0235</w:t>
      </w:r>
    </w:p>
    <w:p>
      <w:pPr/>
      <w:r>
        <w:rPr>
          <w:sz w:val="24"/>
          <w:szCs w:val="24"/>
          <w:b w:val="1"/>
          <w:bCs w:val="1"/>
        </w:rPr>
        <w:t xml:space="preserve">Notion originale: regional Sprache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E2602, p. 46-47</w:t>
      </w:r>
    </w:p>
    <w:p>
      <w:pPr/>
      <w:r>
        <w:rPr/>
        <w:t xml:space="preserve">    Die beschworenen Probleme sollten von den Studenten nicht erst an Ort und Stelle, in der Zielstadt des Studienprogramms erkannt und ausgehalten werden müssen. Dort sind die Leute ohnehin von der Summe neuer Eindrücke überfordert.
Wir glauben, daß eine Vorverlegung der Auseinandersetzung mit Regionalsprachen auf heimischen Boden möglich ist. Im Zeitalter billiger technischer Aufnahme- und Reproduktionsmittel von Sprechsituationen schulden die Veranstalter von Studienprogrammen den Teilnehmern Informationen über die zu erwartenden Sprachformen. Darum sollte jeder Teilnehmer entsprechende Tonbänder mit Proben der jeweiligen regional gefärbten Standardsprache lange vor Antritt der Reise zu privatem Studium in Händen halten, um seine Erwartungen realistisch steuern und bei der Ankunft am Zielort bereits möglichst Vieles der dort gesprochenen Sprache verstehen zu können.</w:t>
      </w:r>
    </w:p>
    <w:p>
      <w:pPr/>
      <w:r>
        <w:rPr/>
        <w:t xml:space="preserve">    Les problèmes évoqués ne devraient pas en premier lieu être rencontrés et supportés par les étudiants sur place, dans la ville de destination du programme d'études. Là-bas, les personnes sont submergées de toute façon par la somme des nouvelles impressions.
Nous pensons qu'un rapport préliminaire concernant la prise en compte des langues régionales sur le territoire national est possible. A l'époque des moyens techniques et bon marché d'enregistrement et de reproduction des situations de communication, les organisateurs des programmes d'études doivent aux participants des informations sur les registres auxquels s'attendre. Dans ce but, chaque participant devrait avoir en mains des enregistrements appropriés avec des échantillons de chaque langue standardisée colorée régionalement longtemps avant le début du voyage pour leur travail personnel, afin de se faire une idée plus réaliste et, à l'arrivée sur le lieu de destination, d'être d'ores et déjà capable de comprendre le plus possible la langue qui y est parlée.</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p>
      <w:pPr/>
      <w:r>
        <w:rPr>
          <w:b w:val="1"/>
          <w:bCs w:val="1"/>
        </w:rPr>
        <w:t xml:space="preserve">Document: D157</w:t>
      </w:r>
    </w:p>
    <w:p>
      <w:pPr/>
      <w:r>
        <w:rPr/>
        <w:t xml:space="preserve">Titre: Der Sprachenstreit</w:t>
      </w:r>
    </w:p>
    <w:p>
      <w:pPr/>
      <w:r>
        <w:rPr/>
        <w:t xml:space="preserve">Titre traduit: Le conflit des langues</w:t>
      </w:r>
    </w:p>
    <w:p>
      <w:pPr/>
      <w:r>
        <w:rPr/>
        <w:t xml:space="preserve">Type: linguistique - article d'ouvrage collectif</w:t>
      </w:r>
    </w:p>
    <w:p>
      <w:pPr/>
      <w:r>
        <w:rPr/>
        <w:t xml:space="preserve">Langue: allemand</w:t>
      </w:r>
    </w:p>
    <w:p>
      <w:pPr/>
      <w:r>
        <w:rPr/>
        <w:t xml:space="preserve">Auteur: KLEIN, Pierre</w:t>
      </w:r>
    </w:p>
    <w:p>
      <w:pPr/>
      <w:r>
        <w:rPr/>
        <w:t xml:space="preserve">In :Les langues de France et la ratification de la charte européenne des langues régionales ou minoritaires, Actes du colloque de StrasbourgDirigé par: KLEIN, Pierre</w:t>
      </w:r>
    </w:p>
    <w:p>
      <w:pPr/>
      <w:r>
        <w:rPr/>
        <w:t xml:space="preserve">Ed. : Initiative citoyenne alsacienne, Huttenheim, 2010, pp. 217-239</w:t>
      </w:r>
    </w:p>
    <w:p>
      <w:pPr/>
      <w:r>
        <w:rPr/>
        <w:t xml:space="preserve">
</w:t>
      </w:r>
    </w:p>
    <w:p>
      <w:pPr/>
      <w:r>
        <w:rPr/>
        <w:t xml:space="preserve">Extrait E2600, p. 218</w:t>
      </w:r>
    </w:p>
    <w:p>
      <w:pPr/>
      <w:r>
        <w:rPr/>
        <w:t xml:space="preserve">    Zunächst schient es so, als würde die Revolution die Dezentralisation und Emanzipation der Provinzen begünstigen. Dies war noch das Frankreich von Valmy und die Freiheit der Völker. Sehr schnell jedoch kehrte man zum Prinzip einer dominierenden, zentralen Macht zurück, welche manche Gegebenheiten des "Ancien Regime" zu verstärken suchte. So überrascht nicht, dass sich bald der Kampf gegen die regionalen Sprachen intensivierte. 
Wichtiger denn je hielt man es für notwendig, die "patois", d.h. die anderen Sprachen Frankreichs, zu vernichten und den exklusiven Gebrauch der französischen Sprache einzuführen. Sicherlich war es bedeutsam, dass alle Franzosen eine gemeinsame Sprache beherrschen sollten, um so die Kommunikation der "citoyens" zu ermöglichen. Aber die Idee, dass dies ohne die Vernichtung der regionalen Sprachen geschehen konnte, war für die große Mehrheit der damals führenden Pariser Schichten und den Eliten der Bourgeoisie undenkbar</w:t>
      </w:r>
    </w:p>
    <w:p>
      <w:pPr/>
      <w:r>
        <w:rPr/>
        <w:t xml:space="preserve">    Ensuite, il a semblé que la révolution favoriserait la décentralisation et l'émancipation des provinces. C'était encore la France de Valmy et la liberté des peuples. Très vite, pourtant, on est retourné au principe d'un pouvoir dominant et central, qui cherchait à consolider quelques réalités de l' "Ancien Régime". Il n'est donc pas surprenant que bientôt la guerre contre les langues régionales se soit intensifiée. 
On a jugé plus important que jamais d'anéantir les "patois", c'est-à-dire les autres langues de la France, et d'introduire le recours exclusif à la langue française. Il était effectivement important que tous les Français aient à maitriser une même langue afin de permettre la communication des "citoyens". Cependant, l'idée que cela pouvait se produire sans l'éradication des langues régionales était impensable pour la grande majorité des couches sociales parisiennes et les élites de la bourgeoisie qui dirigeaient à l'époque.</w:t>
      </w:r>
    </w:p>
    <w:p>
      <w:pPr/>
      <w:r>
        <w:rPr/>
        <w:t xml:space="preserve">
</w:t>
      </w:r>
    </w:p>
    <w:p>
      <w:pPr/>
      <w:r>
        <w:rPr/>
        <w:t xml:space="preserve">
</w:t>
      </w:r>
    </w:p>
    <w:p>
      <w:pPr/>
      <w:r>
        <w:rPr>
          <w:b w:val="1"/>
          <w:bCs w:val="1"/>
        </w:rPr>
        <w:t xml:space="preserve">Document: D156</w:t>
      </w:r>
    </w:p>
    <w:p>
      <w:pPr/>
      <w:r>
        <w:rPr/>
        <w:t xml:space="preserve">Titre: Nation und Sprache: das Norwegische</w:t>
      </w:r>
    </w:p>
    <w:p>
      <w:pPr/>
      <w:r>
        <w:rPr/>
        <w:t xml:space="preserve">Titre traduit: Nation et langue : le norvégien</w:t>
      </w:r>
    </w:p>
    <w:p>
      <w:pPr/>
      <w:r>
        <w:rPr/>
        <w:t xml:space="preserve">Type: linguistique - article d'ouvrage collectif</w:t>
      </w:r>
    </w:p>
    <w:p>
      <w:pPr/>
      <w:r>
        <w:rPr/>
        <w:t xml:space="preserve">Langue: allemand</w:t>
      </w:r>
    </w:p>
    <w:p>
      <w:pPr/>
      <w:r>
        <w:rPr/>
        <w:t xml:space="preserve">Auteur: SANDØY, Helge</w:t>
      </w:r>
    </w:p>
    <w:p>
      <w:pPr/>
      <w:r>
        <w:rPr/>
        <w:t xml:space="preserve">In :Nation und Sprache: die Diskussion ihres Verhältnisses in Geschichte und Gegenwart(trad. :Nation et langue: la discussion de leur relation historiquement et actuellement)Dirigé par: GARDT, Andreas</w:t>
      </w:r>
    </w:p>
    <w:p>
      <w:pPr/>
      <w:r>
        <w:rPr/>
        <w:t xml:space="preserve">Ed. : de Gruyter, Berlin, 2000, pp. 865-905</w:t>
      </w:r>
    </w:p>
    <w:p>
      <w:pPr/>
      <w:r>
        <w:rPr/>
        <w:t xml:space="preserve">
</w:t>
      </w:r>
    </w:p>
    <w:p>
      <w:pPr/>
      <w:r>
        <w:rPr/>
        <w:t xml:space="preserve">Extrait E2599, p. 868</w:t>
      </w:r>
    </w:p>
    <w:p>
      <w:pPr/>
      <w:r>
        <w:rPr/>
        <w:t xml:space="preserve">    Dieser Mangel an Interesse an einer geographischen Bestimmung von Sprachen zeigt sich auch darin, daß nicht einmal im Ersten grammatischen Traktat von ca. 1130 (Hreinn Benediktion 1972) etwas über die Dialektunterschiede gesagt wird, obwohl dies ein Werk mit sprachlichen Beobachtungen und Betrachtungen von beeindruckender Genauigkeit ist. Ziel des ersten grammatischen Traktats war es, eine effektive und präzise Orthographie zu schaffen. Aber uns fehlen Belege dafür, daß die Sprache selbst ein kulturelles Objekt war, also etwas, dem einige Werte zugesprochen wurden, obwohl die regionale Sprache ein sehr wichtiges kulturelles Instrument für die in Norwegen und Island aufkommende Literatur war.</w:t>
      </w:r>
    </w:p>
    <w:p>
      <w:pPr/>
      <w:r>
        <w:rPr/>
        <w:t xml:space="preserve">    Ce défaut d'intérêt pour une disposition géographique des langues est également confirmé par le fait que pas une seule fois dans le Ersten grammatischen Traktat [Premier traité grammatical] qui date d'à peu près 1130 (Hreinn Benediktion 1972) il n'est dit quoi que ce soit au sujet des différences dialectales, alors qu'il s'agit d'un ouvrage avec des observations et des analyses linguistiques d'une précision impressionnante. Le but des premiers traités grammaticaux était de mettre au point une orthographe efficace et précise. Mais nous n'avons pas de documents confirmant que la langue elle-même ait été un objet culturel ou encore que quelque valeur ait pu lui être accordé, bien que la langue régionale ait été un instrument culturel très important pour la naissance de la littérature en Norvège et en Islande.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