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N0190</w:t>
      </w:r>
    </w:p>
    <w:p>
      <w:pPr/>
      <w:r>
        <w:rPr>
          <w:sz w:val="24"/>
          <w:szCs w:val="24"/>
          <w:b w:val="1"/>
          <w:bCs w:val="1"/>
        </w:rPr>
        <w:t xml:space="preserve">Notion originale: общенародный литературный язык</w:t>
      </w:r>
    </w:p>
    <w:p>
      <w:pPr/>
      <w:r>
        <w:rPr>
          <w:sz w:val="24"/>
          <w:szCs w:val="24"/>
          <w:b w:val="1"/>
          <w:bCs w:val="1"/>
        </w:rPr>
        <w:t xml:space="preserve">Notion translittere: obŝenarodnyj literaturnyj âzyk</w:t>
      </w:r>
    </w:p>
    <w:p>
      <w:pPr/>
      <w:r>
        <w:rPr>
          <w:sz w:val="24"/>
          <w:szCs w:val="24"/>
          <w:b w:val="1"/>
          <w:bCs w:val="1"/>
        </w:rPr>
        <w:t xml:space="preserve">Notion traduite: langue littéraire commune</w:t>
      </w:r>
    </w:p>
    <w:p>
      <w:pPr/>
      <w:r>
        <w:rPr/>
        <w:t xml:space="preserve">
Autre notion traduite avec le même therme: (russe) общий литературный язык</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