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N0185</w:t>
      </w:r>
    </w:p>
    <w:p>
      <w:pPr/>
      <w:r>
        <w:rPr>
          <w:sz w:val="24"/>
          <w:szCs w:val="24"/>
          <w:b w:val="1"/>
          <w:bCs w:val="1"/>
        </w:rPr>
        <w:t xml:space="preserve">Notion originale: материнский язык</w:t>
      </w:r>
    </w:p>
    <w:p>
      <w:pPr/>
      <w:r>
        <w:rPr>
          <w:sz w:val="24"/>
          <w:szCs w:val="24"/>
          <w:b w:val="1"/>
          <w:bCs w:val="1"/>
        </w:rPr>
        <w:t xml:space="preserve">Notion translittere: materinskij âzyk</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w:t>
      </w:r>
    </w:p>
    <w:p>
      <w:pPr/>
      <w:r>
        <w:rPr>
          <w:b w:val="1"/>
          <w:bCs w:val="1"/>
        </w:rPr>
        <w:t xml:space="preserve">Document: D114</w:t>
      </w:r>
    </w:p>
    <w:p>
      <w:pPr/>
      <w:r>
        <w:rPr/>
        <w:t xml:space="preserve">Titre: Языковая политика Кыргызстана: причины, проблемы, противоречия</w:t>
      </w:r>
    </w:p>
    <w:p>
      <w:pPr/>
      <w:r>
        <w:rPr/>
        <w:t xml:space="preserve">Titre translittéré: Âzykovaâ politika Kyrgyzstana : pričiny, problemy, protivorečiâ</w:t>
      </w:r>
    </w:p>
    <w:p>
      <w:pPr/>
      <w:r>
        <w:rPr/>
        <w:t xml:space="preserve">Titre traduit: La politique linguistique du Kirghizstan : causes, problèmes et contradictions</w:t>
      </w:r>
    </w:p>
    <w:p>
      <w:pPr/>
      <w:r>
        <w:rPr/>
        <w:t xml:space="preserve">Type: linguistique - article d'ouvrage collectif</w:t>
      </w:r>
    </w:p>
    <w:p>
      <w:pPr/>
      <w:r>
        <w:rPr/>
        <w:t xml:space="preserve">Langue: russe</w:t>
      </w:r>
    </w:p>
    <w:p>
      <w:pPr/>
      <w:r>
        <w:rPr/>
        <w:t xml:space="preserve">Auteur: ЧОТАЕВА, Чолпон [ČOTAEVA, Čolpon]</w:t>
      </w:r>
    </w:p>
    <w:p>
      <w:pPr/>
      <w:r>
        <w:rPr/>
        <w:t xml:space="preserve">In :Государственность и религия в духовном наследии Кыргызстана Gosudarstvennost’ i religiâ v duhovnom nasledii Kyrgyzstana(trad. :L’État et la religion dans l’héritage spirituel du Kirghizstan)Dirigé par: ПЛОСКИХ, В.(PLOSKIH, V.)</w:t>
      </w:r>
    </w:p>
    <w:p>
      <w:pPr/>
      <w:r>
        <w:rPr/>
        <w:t xml:space="preserve">Ed. : Илим, Бишкек-Лейпциг, 2003, pp. 48-54</w:t>
      </w:r>
    </w:p>
    <w:p>
      <w:pPr/>
      <w:r>
        <w:rPr/>
        <w:t xml:space="preserve">
</w:t>
      </w:r>
    </w:p>
    <w:p>
      <w:pPr/>
      <w:r>
        <w:rPr/>
        <w:t xml:space="preserve">Extrait E0135, p. 48</w:t>
      </w:r>
    </w:p>
    <w:p>
      <w:pPr/>
      <w:r>
        <w:rPr/>
        <w:t xml:space="preserve">    Приход большевиков к власти означал поворот в языковой политике. В ее основу была положена необходимость удовлетворения потребностей каждого пользоваться своим материнским языком и овладения на нем высотами мировой культуры. Политика равноправия всех языков нашла широкую поддержку у нерусского населения окраин, чье этническое самосознание значительно выросло за годы революций и гражданской войны.</w:t>
      </w:r>
    </w:p>
    <w:p>
      <w:pPr/>
      <w:r>
        <w:rPr/>
        <w:t xml:space="preserve">    L’arrivée des bolcheviks au pouvoir marquait un tournant dans la politique linguistique. Son fondement était la nécessité de satisfaire le besoin de chacun de se servir de sa langue maternelle et d’acquérir les sommets de la culture mondiale. La politique de l’égalité de toutes les langues a trouvé un large soutien dans la population non-russe de la périphérie, dont le nationalisme ethnique avait significativement augmenté durant les années des révolutions et de la guerre civile.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E1900, p. 215</w:t>
      </w:r>
    </w:p>
    <w:p>
      <w:pPr/>
      <w:r>
        <w:rPr/>
        <w:t xml:space="preserve">    В период развернувшегося культурного строительства, когда на первое место был выдвинут вопрос о ликвидации неграмотности, архаизм литературного языка становился большим неудобством в работе учителей. Вот что говорил на первом республиканском совещании в 1930 году один из видных филологов Бурятии Б. Болодон : "Общемонгольский письменный язык, его обороты и отдельные формы далеко не все понятны бурятскому ребенку. Он знает исключительно материнский язык. С самого начала школьных занятий необходимо установить определенную языковую политику, постепенно обеспечивающую приближение бурятского языка к форме живой халхахской речи".
Борьба за приближение литературного языка к живой речи и упорядочение в связи с этим графики продолжались у бурят вплоть до начала перехода на русскую графическую основу (1940).</w:t>
      </w:r>
    </w:p>
    <w:p>
      <w:pPr/>
      <w:r>
        <w:rPr/>
        <w:t xml:space="preserve">    Durant la période de l'édification culturelle, lorsque la question de la suppression de l'analphabétisme était en première place, l'archaïsme de la langue littéraire devenait un grand inconvénient dans le travail des enseignants. Voilà le discours prononcé lors d'une conférence dans la République, en 1930, de B. Bolodon, un des philologues renommés de Bouriatie : "La langue écrite commune mongole, ses tournures et ses formes particulières ne sont pas toutes comprises par un enfant bouriate. Il connait uniquement la langue maternelle. Dès le début des études scolaires, il faut déterminer un programme linguistique qui va progressivement rapprocher la langue bouriate de la forme de la langue parlée khalkha".
La lutte pour le rapprochement de la langue littéraire du langage parlé et la normalisation de la graphie, qui en découlait, a continué jusqu'à la prochaine étape du passage à la base graphique russe (1940).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2025-04-12T17:54:35+02:00</dcterms:created>
  <dcterms:modified xsi:type="dcterms:W3CDTF">2025-04-12T17:54:35+02:00</dcterms:modified>
</cp:coreProperties>
</file>

<file path=docProps/custom.xml><?xml version="1.0" encoding="utf-8"?>
<Properties xmlns="http://schemas.openxmlformats.org/officeDocument/2006/custom-properties" xmlns:vt="http://schemas.openxmlformats.org/officeDocument/2006/docPropsVTypes"/>
</file>