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N0184</w:t>
      </w:r>
    </w:p>
    <w:p>
      <w:pPr/>
      <w:r>
        <w:rPr>
          <w:sz w:val="24"/>
          <w:szCs w:val="24"/>
          <w:b w:val="1"/>
          <w:bCs w:val="1"/>
        </w:rPr>
        <w:t xml:space="preserve">Notion originale: письменный язык</w:t>
      </w:r>
    </w:p>
    <w:p>
      <w:pPr/>
      <w:r>
        <w:rPr>
          <w:sz w:val="24"/>
          <w:szCs w:val="24"/>
          <w:b w:val="1"/>
          <w:bCs w:val="1"/>
        </w:rPr>
        <w:t xml:space="preserve">Notion translittere: pisʹmennyj âzyk</w:t>
      </w:r>
    </w:p>
    <w:p>
      <w:pPr/>
      <w:r>
        <w:rPr>
          <w:sz w:val="24"/>
          <w:szCs w:val="24"/>
          <w:b w:val="1"/>
          <w:bCs w:val="1"/>
        </w:rPr>
        <w:t xml:space="preserve">Notion traduite: langue écrite</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E2110, p. 107</w:t>
      </w:r>
    </w:p>
    <w:p>
      <w:pPr/>
      <w:r>
        <w:rPr/>
        <w:t xml:space="preserve">    Особенность современной языковой ситуации в России заключается в том, что далеко не равнозначные по уровню функционального и структурного развития языки титульных наций имеют в настоящее время равный государственный статус с русским языком – макропосредником, намного превосходящем в своем фактическом статусе все другие языки РФ. Поэтому одной из главных проблем, возникающих при введении языкового законодательства, является социально целесообразное и реально осуществляемое распределение функций между русским языком и другими языками, объявленными государственными.
Законы о государственных языках титульных наций были приняты в девяти тюркоязычных республиках: в Чувашии (октябрь 1990 г.), в Туве (декабрь 1990 г.), в Хакассии (декабрь 1990 г.), в Татарстане (июль 1992 г.), в Якутии (октябрь 1992 г.), в Республике Алтай (март 1993 г.), в Кабардино-Балкарии (1995 г.), в Карачаево-Черкессии (июль 1996 г.), в Башкирии ( февраль 1999 г.). В Республике Дагестан 26 июля 1994 г. была принята новая Конституция, в соответствии с которой государственными объявляются письменные (новописьменные) языки республики, среди них два тюркских языка – кумыкский и ногайский.</w:t>
      </w:r>
    </w:p>
    <w:p>
      <w:pPr/>
      <w:r>
        <w:rPr/>
        <w:t xml:space="preserve">    La particularité de la situation linguistique actuelle en Russie consiste au fait que des langues des nations titulaires, loin d'être égales au niveau du développement fonctionnel et structurel, ont désormais un statut étatique égal à celui de la langue russe – macrointermédiaire et de loin supérieure par son statut actuel à toutes les autres langues de la Fédération de Russie. Par conséquent, l'un des principaux problèmes qui surgit avec l'introduction de la législation linguistique est la répartition socialement utile et effectivement réalisable des fonctions entre la langue russe et d'autres langues, déclarées comme étant les langues d'État.
Les lois sur les langues d'État des nations titulaires ont été adoptées dans neuf républiques turcophones : en Tchouvachie (octobre 1990), au Touva (décembre 1990), en Khakassie (décembre 1990), au Tatarstan (juillet 1992), en Yakoutie (octobre 1992), dans la République de l'Altaï (mars 1993), en Kabardino-Balkarie (1995), en Karatchaïévo-Tcherkessie (juillet 1996), en Bachkirie (février 1999). Dans la République du Daghestan, le 26 juillet 1994 a été adoptée une nouvelle Constitution, en conformité avec laquelle ont été déclarées comme langues d'État les langues écrites (de littérisation nouvelle) de la République, dont deux sont des langues turciques, le koumyk et le nogaï.</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E2199, p. 217</w:t>
      </w:r>
    </w:p>
    <w:p>
      <w:pPr/>
      <w:r>
        <w:rPr/>
        <w:t xml:space="preserve">    Оптимальным для школьного обучения было бы использование родного кубачинского языка как языка обучения в начальной школе ( первые три-четыре года), при этом русский язык непременно должен присутствовать в качестве одного из основных предметов. (...)
На практике кубачинский язык применялся и применяется в начальной школе- учитель-кубачинец, естественно, поясняет на родном языке то, что непонятно ученикам, плохо владеющим русским. По-кубачински он говорит с детьми и во внеучебное время, на переменах, иногда на уроке (по признанию учителя младших классов Набиюллы Саидова: Стараюсь на уроках говорить по-русски, но бывает, выведут из себя, в сердцах переходишь на родной язык). На уроках пения, а также на занятиях по обработке металлов (все кубачницы, мальчики и девочки, заканчивают школу, владея основными навыками златокузнечества) используется только родной язык.
Таким образом, введение кубачинского языка как языка обучения в младших классах и предмета в старших закрепило бы его фактическое применение в школе, а также упорядочило бы его стихийное употребление как письменного языка в частной переписке. Помимо этого, создание письменного кубачинского языка дало бы толчок к записи кубачинского фольклора, привело бы к созданию литературы на кубачинском языке.</w:t>
      </w:r>
    </w:p>
    <w:p>
      <w:pPr/>
      <w:r>
        <w:rPr/>
        <w:t xml:space="preserve">    L'utilisation de la langue native koubatchi en tant que langue d'éducation à l'école primaire (les premières 3-4 années) serait le meilleur choix possible pour l'éducation scolaire, cependant la langue russe doit obligatoirement être présente comme l'une des principales matières. (...)
Dans la pratique, la langue koubatchi a été utilisée et est utilisée à l'école primaire. L'instituteur koubatchi explique, naturellement, en langue native ce qui n'est pas clair aux élèves qui maîtrisent mal la langue russe. Il parle le koubatchi aux enfants en dehors des heures de classe, pendant les pauses, parfois pendant le cours (selon le témoignage de Nabiyulla Saidov, enseignant de l'école primaire : J'essaie de parler le russe en cours, mais parfois, excédé, dans un moment de colère je passe à la langue native). Pendant les cours de chant, ainsi que les cours de travail des métaux (tous les Koubatchi, garçons et filles, ont des compétences en joaillerie en sortant de l'école) est utilisée uniquement la langue native.
Ainsi, l'introduction de la langue koubatchi en tant que langue d'éducation à l'école primaire et en tant que matière à l'école secondaire aurait renforcée son utilisation effective à l'école, et aurait normalisé son usage spontané en tant que langue écrite dans la correspondance privée. En outre, la création de la langue écrite koubatchi donnerait une impulsion à l'enregistrement du folklore koubatchi et conduirait à la création de la littérature en langue koubatchi.</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E2200, p. 219</w:t>
      </w:r>
    </w:p>
    <w:p>
      <w:pPr/>
      <w:r>
        <w:rPr/>
        <w:t xml:space="preserve">    Среди народов Дагестана - носителей письменных языков - есть относительно многочисленные этносы (более 200 тыс.чел - аварцы, даргинцы, лезгины) и малочисленные (менее 15 тыс.чел.- рутульцы, агулы, таты, цахуры).</w:t>
      </w:r>
    </w:p>
    <w:p>
      <w:pPr/>
      <w:r>
        <w:rPr/>
        <w:t xml:space="preserve">    Parmi les peuples locuteurs des langues écrites au Daghestan il y a des ethnies relativement nombreuses (Avars, Darguines, Lezguiens  : plus de 200 000 personnes) et d'autres numériquement faibles (Routouls, Aguls, Tats, Tsakhurs : moins de 15 000).</w:t>
      </w:r>
    </w:p>
    <w:p>
      <w:pPr/>
      <w:r>
        <w:rPr/>
        <w:t xml:space="preserve">
</w:t>
      </w:r>
    </w:p>
    <w:p>
      <w:pPr/>
      <w:r>
        <w:rPr/>
        <w:t xml:space="preserve">Extrait E2202, p. 222</w:t>
      </w:r>
    </w:p>
    <w:p>
      <w:pPr/>
      <w:r>
        <w:rPr/>
        <w:t xml:space="preserve">    Отметим характерные для Северного Кавказа в целом и особенно для Дагестана особенности: 1) монолингвы- это в подавляющем большинстве лица, владеющие своим этническим языком; 2) монолингвы, хотя и составляют меньшинство населения, однако их доля весьма значительна (в среднем они составляют от четверти до трети общей численности этноса).
(...)
Статистика опровергает преувеличенные представления о полилингвизме дагестанцев-носителей письменных языков: как правило, количество владеющих каким-либо третьим языком (кроме родного и русского в качестве второго) не превышает 2% от общей численности своей этнической группы (за исключением табасаранцев -5,6% и чеченцев -3,2%).</w:t>
      </w:r>
    </w:p>
    <w:p>
      <w:pPr/>
      <w:r>
        <w:rPr/>
        <w:t xml:space="preserve">    Notons les particularités propres au Caucase du Nord en général et en particulier au Daghestan: 1) les monolingues sont en grande majorité locuteurs de leur langue ethnique ; 2) la part des monolingues, même s'ils représentent la minorité de la population, est assez élevée (en moyenne, ils représentent d'un quart à un tiers de l'ensemble de l'ethnie).
(...)
Les statistiques réfutent les idées exagérées sur le multilinguisme des Daghestanais locuteurs de langues écrites. En règle générale, le nombre de locuteurs d'une troisième langue (autre que langue native et russe en tant que langue seconde) ne dépasse pas 2 % du nombre total de leur groupe ethnique (à l'exception des Tabasarans -5,6 % et Tchétchènes -3,2%).</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E2229, p. 342</w:t>
      </w:r>
    </w:p>
    <w:p>
      <w:pPr/>
      <w:r>
        <w:rPr/>
        <w:t xml:space="preserve">    Фактически он [шугнанский язык] является межэтническим средством общения на Памире (...) и выполняет функцию наддиалектной формы речи, т.е. функцию устной литературной нормы письменного языка (...), является третьим lingua franca (после таджикского и русского) для носителей других памирских языков (...).</w:t>
      </w:r>
    </w:p>
    <w:p>
      <w:pPr/>
      <w:r>
        <w:rPr/>
        <w:t xml:space="preserve">    De facto, elle [la langue shughni] est un moyen de communication interethnique au Pamir (...) et assure la fonction de la forme supradialectale du discours, c'est-à-dire, la fonction de la norme littéraire orale de la langue écrite (...), elle est une troisième lingua franca (après le tadjik et le russe) pour les locuteurs d'autres langues du Pamir (...).</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2024-11-21T10:01:25+01:00</dcterms:created>
  <dcterms:modified xsi:type="dcterms:W3CDTF">2024-11-21T10:01:25+01:00</dcterms:modified>
</cp:coreProperties>
</file>

<file path=docProps/custom.xml><?xml version="1.0" encoding="utf-8"?>
<Properties xmlns="http://schemas.openxmlformats.org/officeDocument/2006/custom-properties" xmlns:vt="http://schemas.openxmlformats.org/officeDocument/2006/docPropsVTypes"/>
</file>