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N0170</w:t>
      </w:r>
    </w:p>
    <w:p>
      <w:pPr/>
      <w:r>
        <w:rPr>
          <w:sz w:val="24"/>
          <w:szCs w:val="24"/>
          <w:b w:val="1"/>
          <w:bCs w:val="1"/>
        </w:rPr>
        <w:t xml:space="preserve">Notion originale: региональный язык межэтнического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regionalʹnyj âzyk mežètničeskogo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 de communication interethnique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E1843, p. 138</w:t>
      </w:r>
    </w:p>
    <w:p>
      <w:pPr/>
      <w:r>
        <w:rPr/>
        <w:t xml:space="preserve">    Хауса – один из чадских языков. Служит региональным языком межэтнического общения в нескольких государствах Западной и Экваториальной Африки.</w:t>
      </w:r>
    </w:p>
    <w:p>
      <w:pPr/>
      <w:r>
        <w:rPr/>
        <w:t xml:space="preserve">    Haoussa : une des langues du Tchad. Elle sert de langue régionale de communication interethnique dans plusieurs États d'Afrique de l'Ouest et d'Afrique équatoriale.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2025-07-23T21:50:07+02:00</dcterms:created>
  <dcterms:modified xsi:type="dcterms:W3CDTF">2025-07-23T21:50:07+02:00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