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N0165</w:t>
      </w:r>
    </w:p>
    <w:p>
      <w:pPr/>
      <w:r>
        <w:rPr>
          <w:sz w:val="24"/>
          <w:szCs w:val="24"/>
          <w:b w:val="1"/>
          <w:bCs w:val="1"/>
        </w:rPr>
        <w:t xml:space="preserve">Notion originale: межэтнический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mežètničeskij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interethnique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E1834, p. 108</w:t>
      </w:r>
    </w:p>
    <w:p>
      <w:pPr/>
      <w:r>
        <w:rPr/>
        <w:t xml:space="preserve">    Региональный язык – межнациональный (межэтнический) язык, действие которого ограничивается небольшой территорией (регионом).</w:t>
      </w:r>
    </w:p>
    <w:p>
      <w:pPr/>
      <w:r>
        <w:rPr/>
        <w:t xml:space="preserve">    Langue régionale : langue de communication entre nationalités (interethnique) dont l'emploi est limité à un petit territoire (région).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2025-04-12T18:05:32+02:00</dcterms:created>
  <dcterms:modified xsi:type="dcterms:W3CDTF">2025-04-12T18:05:32+02:00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