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N0159</w:t>
      </w:r>
    </w:p>
    <w:p>
      <w:pPr/>
      <w:r>
        <w:rPr>
          <w:sz w:val="24"/>
          <w:szCs w:val="24"/>
          <w:b w:val="1"/>
          <w:bCs w:val="1"/>
        </w:rPr>
        <w:t xml:space="preserve">Notion originale: лингва франка 2</w:t>
      </w:r>
    </w:p>
    <w:p>
      <w:pPr/>
      <w:r>
        <w:rPr>
          <w:sz w:val="24"/>
          <w:szCs w:val="24"/>
          <w:b w:val="1"/>
          <w:bCs w:val="1"/>
        </w:rPr>
        <w:t xml:space="preserve">Notion translittere: lingva franka 2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2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E1823, p. 74</w:t>
      </w:r>
    </w:p>
    <w:p>
      <w:pPr/>
      <w:r>
        <w:rPr/>
        <w:t xml:space="preserve">    Лингва франка 2 – любой смешанный, креольский устный язык.</w:t>
      </w:r>
    </w:p>
    <w:p>
      <w:pPr/>
      <w:r>
        <w:rPr/>
        <w:t xml:space="preserve">    Lingua franca 2 : toute langue mélangée, langue créole orale.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2025-07-23T21:50:03+02:00</dcterms:created>
  <dcterms:modified xsi:type="dcterms:W3CDTF">2025-07-23T21:50:03+02:00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