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N0139</w:t>
      </w:r>
    </w:p>
    <w:p>
      <w:pPr/>
      <w:r>
        <w:rPr>
          <w:sz w:val="24"/>
          <w:szCs w:val="24"/>
          <w:b w:val="1"/>
          <w:bCs w:val="1"/>
        </w:rPr>
        <w:t xml:space="preserve">Notion originale: langue allogène</w:t>
      </w:r>
    </w:p>
    <w:p>
      <w:pPr/>
      <w:r>
        <w:rPr>
          <w:sz w:val="24"/>
          <w:szCs w:val="24"/>
          <w:b w:val="1"/>
          <w:bCs w:val="1"/>
        </w:rPr>
        <w:t xml:space="preserve">Notion traduite: langue allogène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E1669, p. 184</w:t>
      </w:r>
    </w:p>
    <w:p>
      <w:pPr/>
      <w:r>
        <w:rPr/>
        <w:t xml:space="preserve">    L'ouverture de la section de CAPES (Certificat d'Aptitude Pédagogique à l'Enseignement Secondaire […]) a été adaptée à la revendication et à la spécificité des situations. Le CAPES de breton entre dans les langues régionales alors que le corse a fini par donner lieu à une section particulière corse et que le catalan était l'objet d'un concours de type des Langues Vivantes Etrangères et validait ainsi relativement pour le catalan de France la notion de langues allogènes impliquée par la loi Deixonne pour l'alsacien, le corse et le néerlandais dont le catalan ne relevait pas à l'origine et dont le corse s'est libéré. Ces CAPES ont donné lieu à des expériences plurinormalistes intéressantes, rompant, en pratique (pour le breton par exemple) ou de manière explicite dans les textes pour le corse, avec les conceptions normatives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2025-04-05T02:24:00+02:00</dcterms:created>
  <dcterms:modified xsi:type="dcterms:W3CDTF">2025-04-05T02:24:00+02:00</dcterms:modified>
</cp:coreProperties>
</file>

<file path=docProps/custom.xml><?xml version="1.0" encoding="utf-8"?>
<Properties xmlns="http://schemas.openxmlformats.org/officeDocument/2006/custom-properties" xmlns:vt="http://schemas.openxmlformats.org/officeDocument/2006/docPropsVTypes"/>
</file>