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N0137</w:t>
      </w:r>
    </w:p>
    <w:p>
      <w:pPr/>
      <w:r>
        <w:rPr>
          <w:sz w:val="24"/>
          <w:szCs w:val="24"/>
          <w:b w:val="1"/>
          <w:bCs w:val="1"/>
        </w:rPr>
        <w:t xml:space="preserve">Notion originale: langue immigrée</w:t>
      </w:r>
    </w:p>
    <w:p>
      <w:pPr/>
      <w:r>
        <w:rPr>
          <w:sz w:val="24"/>
          <w:szCs w:val="24"/>
          <w:b w:val="1"/>
          <w:bCs w:val="1"/>
        </w:rPr>
        <w:t xml:space="preserve">Notion traduite: langue immigrée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D015</w:t>
      </w:r>
    </w:p>
    <w:p>
      <w:pPr/>
      <w:r>
        <w:rPr/>
        <w:t xml:space="preserve">Titre: Sociolinguistique. Epistémologie, langues régionales, polynomie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MARCELLESI, Jean-Baptiste</w:t>
      </w:r>
    </w:p>
    <w:p>
      <w:pPr/>
      <w:r>
        <w:rPr/>
        <w:t xml:space="preserve">Ed. :L'Harmattan, Paris, 2003, 308p. </w:t>
      </w:r>
    </w:p>
    <w:p>
      <w:pPr/>
      <w:r>
        <w:rPr/>
        <w:t xml:space="preserve">
</w:t>
      </w:r>
    </w:p>
    <w:p>
      <w:pPr/>
      <w:r>
        <w:rPr/>
        <w:t xml:space="preserve">Extrait E1667, p. 176</w:t>
      </w:r>
    </w:p>
    <w:p>
      <w:pPr/>
      <w:r>
        <w:rPr/>
        <w:t xml:space="preserve">    L'étude du contact des langues est donc inséparable de l'examen de l'espace occupé par ce pays et de son expansion. En outre, la présence en France des langues dites territoriales - nous emploierons langues régionales pour désigner les sept langues [basque, breton, flamand, alsacien-lorrain, catalan, corse, variétés gallo romaines de la moitié Nord du pays], selon les explications données (J.B. Marcellesi, 1975 : 6 – 7) et langues territoriales ou langues autochtones pour les distinguer des langues immigrées - comme celle des langues immigrées est en rapport avec l'histoire.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2025-06-29T20:31:09+02:00</dcterms:created>
  <dcterms:modified xsi:type="dcterms:W3CDTF">2025-06-29T20:31:09+02:00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