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4"/>
          <w:szCs w:val="24"/>
          <w:b w:val="1"/>
          <w:bCs w:val="1"/>
        </w:rPr>
        <w:t xml:space="preserve">Notion: N0124</w:t>
      </w:r>
    </w:p>
    <w:p>
      <w:pPr/>
      <w:r>
        <w:rPr>
          <w:sz w:val="24"/>
          <w:szCs w:val="24"/>
          <w:b w:val="1"/>
          <w:bCs w:val="1"/>
        </w:rPr>
        <w:t xml:space="preserve">Notion originale: langue et culture locales</w:t>
      </w:r>
    </w:p>
    <w:p>
      <w:pPr/>
      <w:r>
        <w:rPr>
          <w:sz w:val="24"/>
          <w:szCs w:val="24"/>
          <w:b w:val="1"/>
          <w:bCs w:val="1"/>
        </w:rPr>
        <w:t xml:space="preserve">Notion traduite: langue et culture locales</w:t>
      </w:r>
    </w:p>
    <w:p>
      <w:pPr/>
      <w:r>
        <w:rPr/>
        <w:t xml:space="preserve">
</w:t>
      </w:r>
    </w:p>
    <w:p>
      <w:pPr/>
      <w:r>
        <w:rPr>
          <w:b w:val="1"/>
          <w:bCs w:val="1"/>
        </w:rPr>
        <w:t xml:space="preserve">Document: D010</w:t>
      </w:r>
    </w:p>
    <w:p>
      <w:pPr/>
      <w:r>
        <w:rPr/>
        <w:t xml:space="preserve">Titre: Le marché aux langues, les effets linguistiques de la mondialisation</w:t>
      </w:r>
    </w:p>
    <w:p>
      <w:pPr/>
      <w:r>
        <w:rPr/>
        <w:t xml:space="preserve">Type: linguistique - ouvrage monographique</w:t>
      </w:r>
    </w:p>
    <w:p>
      <w:pPr/>
      <w:r>
        <w:rPr/>
        <w:t xml:space="preserve">Langue: français</w:t>
      </w:r>
    </w:p>
    <w:p>
      <w:pPr/>
      <w:r>
        <w:rPr/>
        <w:t xml:space="preserve">Auteur: CALVET, Louis-Jean</w:t>
      </w:r>
    </w:p>
    <w:p>
      <w:pPr/>
      <w:r>
        <w:rPr/>
        <w:t xml:space="preserve">Ed. :Plon, Paris, 2002, 220p. </w:t>
      </w:r>
    </w:p>
    <w:p>
      <w:pPr/>
      <w:r>
        <w:rPr/>
        <w:t xml:space="preserve">
</w:t>
      </w:r>
    </w:p>
    <w:p>
      <w:pPr/>
      <w:r>
        <w:rPr/>
        <w:t xml:space="preserve">Extrait E1572, p. 117-118</w:t>
      </w:r>
    </w:p>
    <w:p>
      <w:pPr/>
      <w:r>
        <w:rPr/>
        <w:t xml:space="preserve">    (…) on peut se demander si discours alarmiste ou apocalyptique [référence à Hagège : Halte à la mort des langues], cet appel à la défense des petites langues par les locuteurs de grandes langues, cette volonté mobilisatrice, dont nous avons vu qu'ils sont sous-tendus par une opposition globale de l'anglais et donc à la défense des langues supercentrales, ne sont pas l'une des formes les plus sophistiquées du conservatisme : en culpabilisant les locuteurs des "petites langues", en les exhortant de ne pas les abandonner, ne manifeste-t-on pas le désir de les maintenir dans leur périphérie, réservoir d'une diversité que le centre appelle de ses vœux ? Car il y a dans cette idéologie une étrange contradiction. Elle appelle certes à la défense des langues et cultures locales, au droit à la différence. Mais, dans le même temps, tout le monde semble se précipiter vers l'anglais qui, par exemple, chaque fois qu'il y a le choix, est la langue choisie en majorité par les élèves (ou plutôt par leurs parents).</w:t>
      </w:r>
    </w:p>
    <w:p>
      <w:pPr/>
      <w:r>
        <w:rPr/>
        <w:t xml:space="preserve">
</w:t>
      </w:r>
    </w:p>
    <w:p>
      <w:pPr/>
      <w:r>
        <w:rPr/>
        <w:t xml:space="preserve">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2024-05-16T07:35:23+02:00</dcterms:created>
  <dcterms:modified xsi:type="dcterms:W3CDTF">2024-05-16T07:35:23+02:00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