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N0110</w:t>
      </w:r>
    </w:p>
    <w:p>
      <w:pPr/>
      <w:r>
        <w:rPr>
          <w:sz w:val="24"/>
          <w:szCs w:val="24"/>
          <w:b w:val="1"/>
          <w:bCs w:val="1"/>
        </w:rPr>
        <w:t xml:space="preserve">Notion originale: langue de colonisés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colonisés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D009</w:t>
      </w:r>
    </w:p>
    <w:p>
      <w:pPr/>
      <w:r>
        <w:rPr/>
        <w:t xml:space="preserve">Titre: Linguistique et colonialisme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:Payot, Saint-Amand, 1979, 228p. </w:t>
      </w:r>
    </w:p>
    <w:p>
      <w:pPr/>
      <w:r>
        <w:rPr/>
        <w:t xml:space="preserve">
</w:t>
      </w:r>
    </w:p>
    <w:p>
      <w:pPr/>
      <w:r>
        <w:rPr/>
        <w:t xml:space="preserve">Extrait E1509, p. 127</w:t>
      </w:r>
    </w:p>
    <w:p>
      <w:pPr/>
      <w:r>
        <w:rPr/>
        <w:t xml:space="preserve">    Le principe y est toujours le même : dans la lignée des théories racistes et ethno-centristes du siècle précédent, et en distordant les faits lorsque cela est nécessaire, on démontre pour un public convaincu d'avance que les langues des colonisés sont des sous-langues, incapables de répondre en rien au défi des temps modernes, des sciences, de la culture, d'où la nécessité pour eux d'adopter la langue du colonisateur.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2025-06-29T20:28:51+02:00</dcterms:created>
  <dcterms:modified xsi:type="dcterms:W3CDTF">2025-06-29T20:28:51+02:00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