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N0105</w:t>
      </w:r>
    </w:p>
    <w:p>
      <w:pPr/>
      <w:r>
        <w:rPr>
          <w:sz w:val="24"/>
          <w:szCs w:val="24"/>
          <w:b w:val="1"/>
          <w:bCs w:val="1"/>
        </w:rPr>
        <w:t xml:space="preserve">Notion originale: langue spécifique</w:t>
      </w:r>
    </w:p>
    <w:p>
      <w:pPr/>
      <w:r>
        <w:rPr>
          <w:sz w:val="24"/>
          <w:szCs w:val="24"/>
          <w:b w:val="1"/>
          <w:bCs w:val="1"/>
        </w:rPr>
        <w:t xml:space="preserve">Notion traduite: langue spécifique</w:t>
      </w:r>
    </w:p>
    <w:p>
      <w:pPr/>
      <w:r>
        <w:rPr/>
        <w:t xml:space="preserve">
Autre notion traduite avec le même therme: (espagnol) lengua específica</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E1486, p. 218</w:t>
      </w:r>
    </w:p>
    <w:p>
      <w:pPr/>
      <w:r>
        <w:rPr/>
        <w:t xml:space="preserve">    On observe que dans ce texte fondamental [Loi organique 4/1979 publiée dans le Diari Oficial de la Generalitat en date du 31 décembre 1979.], tout autant œuvre de compromis que la Constitution de 1978, une distinction est clairement introduite entre la langue spécifique de la Catalogne : le catalan et les langues officielles en Catalogne : le castillan et le catalan. Distinction qui est loin d'être accessoire : elle pèsera sur le développement de la normalisation sociolinguistique en orientant les revendications nationalistes vers une correction de la co-officialité en faveur du catalan.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2025-06-29T21:05:51+02:00</dcterms:created>
  <dcterms:modified xsi:type="dcterms:W3CDTF">2025-06-29T21:05:51+02:00</dcterms:modified>
</cp:coreProperties>
</file>

<file path=docProps/custom.xml><?xml version="1.0" encoding="utf-8"?>
<Properties xmlns="http://schemas.openxmlformats.org/officeDocument/2006/custom-properties" xmlns:vt="http://schemas.openxmlformats.org/officeDocument/2006/docPropsVTypes"/>
</file>